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F87" w:rsidRPr="00971BB6" w:rsidRDefault="00F64F87" w:rsidP="00F64F87">
      <w:pPr>
        <w:jc w:val="center"/>
        <w:rPr>
          <w:rFonts w:cs="Arial"/>
          <w:b/>
          <w:lang w:val="mn-MN"/>
        </w:rPr>
      </w:pPr>
      <w:r w:rsidRPr="00971BB6">
        <w:rPr>
          <w:rFonts w:cs="Arial"/>
          <w:b/>
        </w:rPr>
        <w:t xml:space="preserve">Follow-up activities under given recommendations of Mongolia </w:t>
      </w:r>
      <w:r w:rsidRPr="00971BB6">
        <w:rPr>
          <w:rFonts w:cs="Arial"/>
          <w:b/>
          <w:lang w:val="mn-MN"/>
        </w:rPr>
        <w:t>2018</w:t>
      </w:r>
      <w:r w:rsidRPr="00971BB6">
        <w:rPr>
          <w:rFonts w:cs="Arial"/>
          <w:b/>
        </w:rPr>
        <w:t xml:space="preserve"> and 2019 </w:t>
      </w:r>
      <w:r w:rsidRPr="00971BB6">
        <w:rPr>
          <w:rFonts w:cs="Arial"/>
          <w:b/>
          <w:lang w:val="mn-MN"/>
        </w:rPr>
        <w:t>EITI</w:t>
      </w:r>
      <w:r w:rsidRPr="00971BB6">
        <w:rPr>
          <w:rFonts w:cs="Arial"/>
          <w:b/>
        </w:rPr>
        <w:t xml:space="preserve"> Reports</w:t>
      </w:r>
    </w:p>
    <w:tbl>
      <w:tblPr>
        <w:tblW w:w="101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9"/>
        <w:gridCol w:w="4500"/>
        <w:gridCol w:w="3330"/>
      </w:tblGrid>
      <w:tr w:rsidR="00F64F87" w:rsidRPr="00971BB6" w:rsidTr="00F64F87">
        <w:trPr>
          <w:trHeight w:val="710"/>
        </w:trPr>
        <w:tc>
          <w:tcPr>
            <w:tcW w:w="2279" w:type="dxa"/>
            <w:vMerge w:val="restart"/>
            <w:shd w:val="clear" w:color="auto" w:fill="auto"/>
            <w:hideMark/>
          </w:tcPr>
          <w:p w:rsidR="00F64F87" w:rsidRPr="00971BB6" w:rsidRDefault="00F64F87" w:rsidP="006D01F4">
            <w:pPr>
              <w:spacing w:after="0" w:line="240" w:lineRule="auto"/>
              <w:rPr>
                <w:rFonts w:eastAsia="Times New Roman" w:cs="Arial"/>
                <w:b/>
                <w:bCs/>
                <w:color w:val="000000"/>
                <w:lang w:val="mn-MN"/>
              </w:rPr>
            </w:pPr>
            <w:r w:rsidRPr="00971BB6">
              <w:rPr>
                <w:rFonts w:eastAsia="Times New Roman" w:cs="Arial"/>
                <w:b/>
                <w:bCs/>
                <w:color w:val="000000"/>
              </w:rPr>
              <w:t xml:space="preserve">Objective </w:t>
            </w:r>
            <w:r w:rsidRPr="00971BB6">
              <w:rPr>
                <w:rFonts w:eastAsia="Times New Roman" w:cs="Arial"/>
                <w:b/>
                <w:bCs/>
                <w:color w:val="000000"/>
                <w:lang w:val="mn-MN"/>
              </w:rPr>
              <w:t>1</w:t>
            </w:r>
            <w:r w:rsidRPr="00971BB6">
              <w:rPr>
                <w:rFonts w:eastAsia="Times New Roman" w:cs="Arial"/>
                <w:b/>
                <w:bCs/>
                <w:color w:val="000000"/>
              </w:rPr>
              <w:t>9</w:t>
            </w:r>
            <w:r w:rsidRPr="00971BB6">
              <w:rPr>
                <w:rFonts w:eastAsia="Times New Roman" w:cs="Arial"/>
                <w:color w:val="000000"/>
              </w:rPr>
              <w:t xml:space="preserve">: Implement recommendations given by Mongolia EITI </w:t>
            </w:r>
            <w:r w:rsidRPr="00971BB6">
              <w:rPr>
                <w:rFonts w:eastAsia="Times New Roman" w:cs="Arial"/>
                <w:color w:val="000000"/>
                <w:lang w:val="mn-MN"/>
              </w:rPr>
              <w:t>2018</w:t>
            </w:r>
            <w:r w:rsidRPr="00971BB6">
              <w:rPr>
                <w:rFonts w:eastAsia="Times New Roman" w:cs="Arial"/>
                <w:color w:val="000000"/>
              </w:rPr>
              <w:t xml:space="preserve"> and 2019 Reports</w:t>
            </w:r>
          </w:p>
        </w:tc>
        <w:tc>
          <w:tcPr>
            <w:tcW w:w="4500" w:type="dxa"/>
            <w:shd w:val="clear" w:color="auto" w:fill="auto"/>
          </w:tcPr>
          <w:p w:rsidR="00F64F87" w:rsidRPr="00971BB6" w:rsidRDefault="00F64F87" w:rsidP="006D01F4">
            <w:pPr>
              <w:spacing w:after="0" w:line="240" w:lineRule="auto"/>
              <w:rPr>
                <w:rFonts w:eastAsia="Times New Roman" w:cs="Arial"/>
                <w:color w:val="000000"/>
                <w:lang w:val="mn-MN"/>
              </w:rPr>
            </w:pPr>
            <w:r w:rsidRPr="00971BB6">
              <w:rPr>
                <w:rFonts w:eastAsia="Times New Roman" w:cs="Arial"/>
                <w:color w:val="000000"/>
                <w:lang w:val="mn-MN"/>
              </w:rPr>
              <w:t xml:space="preserve">19.1. </w:t>
            </w:r>
            <w:r w:rsidRPr="00971BB6">
              <w:rPr>
                <w:rFonts w:eastAsia="Times New Roman" w:cs="Arial"/>
                <w:color w:val="000000"/>
              </w:rPr>
              <w:t>All data related to extractive sector should be collected at MMHI, and disseminate to other Government institutions;</w:t>
            </w:r>
          </w:p>
        </w:tc>
        <w:tc>
          <w:tcPr>
            <w:tcW w:w="3330" w:type="dxa"/>
            <w:shd w:val="clear" w:color="auto" w:fill="auto"/>
          </w:tcPr>
          <w:p w:rsidR="00F64F87" w:rsidRPr="00971BB6" w:rsidRDefault="00F64F87" w:rsidP="006D01F4">
            <w:pPr>
              <w:spacing w:after="0" w:line="240" w:lineRule="auto"/>
              <w:rPr>
                <w:rFonts w:eastAsia="Times New Roman" w:cs="Arial"/>
                <w:color w:val="000000"/>
                <w:lang w:val="mn-MN"/>
              </w:rPr>
            </w:pPr>
            <w:r w:rsidRPr="00971BB6">
              <w:rPr>
                <w:rFonts w:eastAsia="Times New Roman" w:cs="Arial"/>
                <w:color w:val="000000"/>
              </w:rPr>
              <w:t>The issue shall be included and resolved in extractive sector transparency law.</w:t>
            </w:r>
          </w:p>
        </w:tc>
      </w:tr>
      <w:tr w:rsidR="00F64F87" w:rsidRPr="00971BB6" w:rsidTr="00F64F87">
        <w:trPr>
          <w:trHeight w:val="855"/>
        </w:trPr>
        <w:tc>
          <w:tcPr>
            <w:tcW w:w="2279" w:type="dxa"/>
            <w:vMerge/>
            <w:vAlign w:val="center"/>
          </w:tcPr>
          <w:p w:rsidR="00F64F87" w:rsidRPr="00971BB6" w:rsidRDefault="00F64F87" w:rsidP="006D01F4">
            <w:pPr>
              <w:spacing w:after="0" w:line="240" w:lineRule="auto"/>
              <w:rPr>
                <w:rFonts w:eastAsia="Times New Roman" w:cs="Arial"/>
                <w:b/>
                <w:bCs/>
                <w:color w:val="000000"/>
                <w:lang w:val="mn-MN"/>
              </w:rPr>
            </w:pPr>
          </w:p>
        </w:tc>
        <w:tc>
          <w:tcPr>
            <w:tcW w:w="4500" w:type="dxa"/>
            <w:shd w:val="clear" w:color="auto" w:fill="auto"/>
          </w:tcPr>
          <w:p w:rsidR="00F64F87" w:rsidRPr="00971BB6" w:rsidRDefault="00F64F87" w:rsidP="006D01F4">
            <w:pPr>
              <w:spacing w:after="0" w:line="240" w:lineRule="auto"/>
              <w:rPr>
                <w:rFonts w:eastAsia="Times New Roman" w:cs="Arial"/>
                <w:color w:val="000000"/>
                <w:lang w:val="mn-MN"/>
              </w:rPr>
            </w:pPr>
            <w:r w:rsidRPr="00971BB6">
              <w:rPr>
                <w:rFonts w:eastAsia="Times New Roman" w:cs="Arial"/>
                <w:color w:val="000000"/>
                <w:lang w:val="mn-MN"/>
              </w:rPr>
              <w:t xml:space="preserve">19.2. </w:t>
            </w:r>
            <w:r w:rsidRPr="00971BB6">
              <w:rPr>
                <w:rFonts w:eastAsia="Times New Roman" w:cs="Arial"/>
                <w:color w:val="000000"/>
              </w:rPr>
              <w:t>Local administration will place all received donations at own website, Aimag audit office should include in 2021 Work plan to audit special funds.</w:t>
            </w:r>
            <w:r w:rsidRPr="00971BB6">
              <w:rPr>
                <w:rFonts w:eastAsia="Times New Roman" w:cs="Arial"/>
                <w:color w:val="000000"/>
                <w:lang w:val="mn-MN"/>
              </w:rPr>
              <w:t xml:space="preserve"> </w:t>
            </w:r>
          </w:p>
        </w:tc>
        <w:tc>
          <w:tcPr>
            <w:tcW w:w="3330" w:type="dxa"/>
            <w:shd w:val="clear" w:color="auto" w:fill="auto"/>
          </w:tcPr>
          <w:p w:rsidR="00F64F87" w:rsidRPr="00971BB6" w:rsidRDefault="00F64F87" w:rsidP="006D01F4">
            <w:pPr>
              <w:spacing w:after="0" w:line="240" w:lineRule="auto"/>
              <w:rPr>
                <w:rFonts w:eastAsia="Times New Roman" w:cs="Arial"/>
                <w:color w:val="000000"/>
                <w:lang w:val="mn-MN"/>
              </w:rPr>
            </w:pPr>
            <w:r w:rsidRPr="00971BB6">
              <w:rPr>
                <w:rFonts w:eastAsia="Times New Roman" w:cs="Arial"/>
                <w:color w:val="000000"/>
              </w:rPr>
              <w:t>Letter was delivered to aimags.</w:t>
            </w:r>
          </w:p>
        </w:tc>
      </w:tr>
      <w:tr w:rsidR="00F64F87" w:rsidRPr="00971BB6" w:rsidTr="00F64F87">
        <w:trPr>
          <w:trHeight w:val="557"/>
        </w:trPr>
        <w:tc>
          <w:tcPr>
            <w:tcW w:w="2279" w:type="dxa"/>
            <w:vMerge/>
            <w:vAlign w:val="center"/>
          </w:tcPr>
          <w:p w:rsidR="00F64F87" w:rsidRPr="00971BB6" w:rsidRDefault="00F64F87" w:rsidP="006D01F4">
            <w:pPr>
              <w:spacing w:after="0" w:line="240" w:lineRule="auto"/>
              <w:rPr>
                <w:rFonts w:eastAsia="Times New Roman" w:cs="Arial"/>
                <w:b/>
                <w:bCs/>
                <w:color w:val="000000"/>
                <w:lang w:val="mn-MN"/>
              </w:rPr>
            </w:pPr>
          </w:p>
        </w:tc>
        <w:tc>
          <w:tcPr>
            <w:tcW w:w="4500" w:type="dxa"/>
            <w:shd w:val="clear" w:color="auto" w:fill="auto"/>
          </w:tcPr>
          <w:p w:rsidR="00F64F87" w:rsidRPr="00971BB6" w:rsidRDefault="00F64F87" w:rsidP="006D01F4">
            <w:pPr>
              <w:pStyle w:val="TableParagraph"/>
              <w:tabs>
                <w:tab w:val="left" w:pos="353"/>
              </w:tabs>
              <w:spacing w:before="1"/>
              <w:ind w:right="81"/>
              <w:rPr>
                <w:rFonts w:asciiTheme="minorHAnsi" w:hAnsiTheme="minorHAnsi"/>
                <w:lang w:val="mn-MN"/>
              </w:rPr>
            </w:pPr>
            <w:r w:rsidRPr="00971BB6">
              <w:rPr>
                <w:rFonts w:asciiTheme="minorHAnsi" w:hAnsiTheme="minorHAnsi"/>
                <w:lang w:val="mn-MN"/>
              </w:rPr>
              <w:t xml:space="preserve">19.3. </w:t>
            </w:r>
            <w:r w:rsidRPr="00971BB6">
              <w:rPr>
                <w:rFonts w:asciiTheme="minorHAnsi" w:hAnsiTheme="minorHAnsi"/>
              </w:rPr>
              <w:t>Audited financial statements of companies will be placed at EITI website separately</w:t>
            </w:r>
            <w:r w:rsidRPr="00971BB6">
              <w:rPr>
                <w:rFonts w:asciiTheme="minorHAnsi" w:hAnsiTheme="minorHAnsi"/>
                <w:lang w:val="mn-MN"/>
              </w:rPr>
              <w:t>;</w:t>
            </w:r>
          </w:p>
          <w:p w:rsidR="00F64F87" w:rsidRPr="00971BB6" w:rsidRDefault="00F64F87" w:rsidP="006D01F4">
            <w:pPr>
              <w:spacing w:after="0" w:line="240" w:lineRule="auto"/>
              <w:rPr>
                <w:rFonts w:eastAsia="Times New Roman" w:cs="Arial"/>
                <w:color w:val="000000"/>
                <w:lang w:val="mn-MN"/>
              </w:rPr>
            </w:pPr>
          </w:p>
        </w:tc>
        <w:tc>
          <w:tcPr>
            <w:tcW w:w="3330" w:type="dxa"/>
            <w:shd w:val="clear" w:color="auto" w:fill="auto"/>
          </w:tcPr>
          <w:p w:rsidR="00F64F87" w:rsidRPr="00971BB6" w:rsidRDefault="00F64F87" w:rsidP="006D01F4">
            <w:pPr>
              <w:spacing w:after="0" w:line="240" w:lineRule="auto"/>
              <w:rPr>
                <w:rFonts w:eastAsia="Times New Roman" w:cs="Arial"/>
                <w:color w:val="000000"/>
                <w:lang w:val="mn-MN"/>
              </w:rPr>
            </w:pPr>
            <w:r w:rsidRPr="00971BB6">
              <w:rPr>
                <w:rFonts w:eastAsia="Times New Roman" w:cs="Arial"/>
                <w:color w:val="000000"/>
              </w:rPr>
              <w:t>It will be examined at EITI E-reporting portal</w:t>
            </w:r>
            <w:r w:rsidR="00891F36">
              <w:rPr>
                <w:rStyle w:val="FootnoteReference"/>
                <w:rFonts w:eastAsia="Times New Roman" w:cs="Arial"/>
                <w:color w:val="000000"/>
              </w:rPr>
              <w:footnoteReference w:id="1"/>
            </w:r>
            <w:r w:rsidRPr="00971BB6">
              <w:rPr>
                <w:rFonts w:eastAsia="Times New Roman" w:cs="Arial"/>
                <w:color w:val="000000"/>
              </w:rPr>
              <w:t>.</w:t>
            </w:r>
          </w:p>
        </w:tc>
      </w:tr>
      <w:tr w:rsidR="00F64F87" w:rsidRPr="00971BB6" w:rsidTr="00F64F87">
        <w:trPr>
          <w:trHeight w:val="809"/>
        </w:trPr>
        <w:tc>
          <w:tcPr>
            <w:tcW w:w="2279" w:type="dxa"/>
            <w:vMerge/>
            <w:vAlign w:val="center"/>
          </w:tcPr>
          <w:p w:rsidR="00F64F87" w:rsidRPr="00971BB6" w:rsidRDefault="00F64F87" w:rsidP="006D01F4">
            <w:pPr>
              <w:spacing w:after="0" w:line="240" w:lineRule="auto"/>
              <w:rPr>
                <w:rFonts w:eastAsia="Times New Roman" w:cs="Arial"/>
                <w:b/>
                <w:bCs/>
                <w:color w:val="000000"/>
                <w:lang w:val="mn-MN"/>
              </w:rPr>
            </w:pPr>
          </w:p>
        </w:tc>
        <w:tc>
          <w:tcPr>
            <w:tcW w:w="4500" w:type="dxa"/>
            <w:shd w:val="clear" w:color="auto" w:fill="auto"/>
          </w:tcPr>
          <w:p w:rsidR="00F64F87" w:rsidRPr="00971BB6" w:rsidRDefault="00F64F87" w:rsidP="006D01F4">
            <w:pPr>
              <w:spacing w:after="0" w:line="240" w:lineRule="auto"/>
              <w:rPr>
                <w:rFonts w:eastAsia="Times New Roman" w:cs="Arial"/>
                <w:color w:val="000000"/>
                <w:lang w:val="mn-MN"/>
              </w:rPr>
            </w:pPr>
            <w:r w:rsidRPr="00971BB6">
              <w:rPr>
                <w:rFonts w:cs="Arial"/>
                <w:lang w:val="mn-MN"/>
              </w:rPr>
              <w:t xml:space="preserve">19.4. </w:t>
            </w:r>
            <w:r w:rsidRPr="00971BB6">
              <w:rPr>
                <w:rFonts w:cs="Arial"/>
              </w:rPr>
              <w:t xml:space="preserve">Disclose members of Board of </w:t>
            </w:r>
            <w:proofErr w:type="spellStart"/>
            <w:r w:rsidRPr="00971BB6">
              <w:rPr>
                <w:rFonts w:cs="Arial"/>
              </w:rPr>
              <w:t>SoEs</w:t>
            </w:r>
            <w:proofErr w:type="spellEnd"/>
            <w:r w:rsidRPr="00971BB6">
              <w:rPr>
                <w:rFonts w:cs="Arial"/>
              </w:rPr>
              <w:t>, procedure of election of independent members and make publicly available</w:t>
            </w:r>
            <w:r w:rsidRPr="00971BB6">
              <w:rPr>
                <w:rFonts w:cs="Arial"/>
                <w:lang w:val="mn-MN"/>
              </w:rPr>
              <w:t>;</w:t>
            </w:r>
          </w:p>
        </w:tc>
        <w:tc>
          <w:tcPr>
            <w:tcW w:w="3330" w:type="dxa"/>
            <w:shd w:val="clear" w:color="auto" w:fill="auto"/>
          </w:tcPr>
          <w:p w:rsidR="00F64F87" w:rsidRPr="00971BB6" w:rsidRDefault="00F64F87" w:rsidP="006D01F4">
            <w:pPr>
              <w:spacing w:after="0" w:line="240" w:lineRule="auto"/>
              <w:rPr>
                <w:rFonts w:eastAsia="Times New Roman" w:cs="Arial"/>
                <w:color w:val="000000"/>
                <w:lang w:val="mn-MN"/>
              </w:rPr>
            </w:pPr>
            <w:r w:rsidRPr="00971BB6">
              <w:rPr>
                <w:rFonts w:eastAsia="Times New Roman" w:cs="Arial"/>
                <w:color w:val="000000"/>
              </w:rPr>
              <w:t xml:space="preserve">Most </w:t>
            </w:r>
            <w:proofErr w:type="spellStart"/>
            <w:r w:rsidRPr="00971BB6">
              <w:rPr>
                <w:rFonts w:eastAsia="Times New Roman" w:cs="Arial"/>
                <w:color w:val="000000"/>
              </w:rPr>
              <w:t>SoE</w:t>
            </w:r>
            <w:r w:rsidR="00891F36">
              <w:rPr>
                <w:rFonts w:eastAsia="Times New Roman" w:cs="Arial"/>
                <w:color w:val="000000"/>
              </w:rPr>
              <w:t>s</w:t>
            </w:r>
            <w:proofErr w:type="spellEnd"/>
            <w:r w:rsidRPr="00971BB6">
              <w:rPr>
                <w:rFonts w:eastAsia="Times New Roman" w:cs="Arial"/>
                <w:color w:val="000000"/>
              </w:rPr>
              <w:t xml:space="preserve"> have supported. </w:t>
            </w:r>
          </w:p>
        </w:tc>
      </w:tr>
      <w:tr w:rsidR="00F64F87" w:rsidRPr="00971BB6" w:rsidTr="00F64F87">
        <w:trPr>
          <w:trHeight w:val="440"/>
        </w:trPr>
        <w:tc>
          <w:tcPr>
            <w:tcW w:w="2279" w:type="dxa"/>
            <w:vMerge/>
            <w:vAlign w:val="center"/>
          </w:tcPr>
          <w:p w:rsidR="00F64F87" w:rsidRPr="00971BB6" w:rsidRDefault="00F64F87" w:rsidP="006D01F4">
            <w:pPr>
              <w:spacing w:after="0" w:line="240" w:lineRule="auto"/>
              <w:rPr>
                <w:rFonts w:eastAsia="Times New Roman" w:cs="Arial"/>
                <w:b/>
                <w:bCs/>
                <w:color w:val="000000"/>
                <w:lang w:val="mn-MN"/>
              </w:rPr>
            </w:pPr>
          </w:p>
        </w:tc>
        <w:tc>
          <w:tcPr>
            <w:tcW w:w="4500" w:type="dxa"/>
            <w:shd w:val="clear" w:color="auto" w:fill="auto"/>
          </w:tcPr>
          <w:p w:rsidR="00F64F87" w:rsidRPr="00971BB6" w:rsidRDefault="00F64F87" w:rsidP="006D01F4">
            <w:pPr>
              <w:spacing w:after="0" w:line="240" w:lineRule="auto"/>
              <w:rPr>
                <w:rFonts w:eastAsia="Times New Roman" w:cs="Arial"/>
                <w:color w:val="000000"/>
                <w:lang w:val="mn-MN"/>
              </w:rPr>
            </w:pPr>
            <w:r w:rsidRPr="00971BB6">
              <w:rPr>
                <w:rFonts w:cs="Arial"/>
                <w:lang w:val="mn-MN"/>
              </w:rPr>
              <w:t xml:space="preserve">19.5. </w:t>
            </w:r>
            <w:r w:rsidRPr="00971BB6">
              <w:rPr>
                <w:rFonts w:cs="Arial"/>
              </w:rPr>
              <w:t xml:space="preserve">Disclose minutes of meeting of Board of </w:t>
            </w:r>
            <w:proofErr w:type="spellStart"/>
            <w:r w:rsidRPr="00971BB6">
              <w:rPr>
                <w:rFonts w:cs="Arial"/>
              </w:rPr>
              <w:t>SoEs</w:t>
            </w:r>
            <w:proofErr w:type="spellEnd"/>
            <w:r w:rsidRPr="00971BB6">
              <w:rPr>
                <w:rFonts w:cs="Arial"/>
                <w:spacing w:val="20"/>
                <w:lang w:val="mn-MN"/>
              </w:rPr>
              <w:t>;</w:t>
            </w:r>
          </w:p>
        </w:tc>
        <w:tc>
          <w:tcPr>
            <w:tcW w:w="3330" w:type="dxa"/>
            <w:shd w:val="clear" w:color="auto" w:fill="auto"/>
          </w:tcPr>
          <w:p w:rsidR="00F64F87" w:rsidRPr="00971BB6" w:rsidRDefault="00F64F87" w:rsidP="006D01F4">
            <w:pPr>
              <w:spacing w:after="0" w:line="240" w:lineRule="auto"/>
              <w:rPr>
                <w:rFonts w:eastAsia="Times New Roman" w:cs="Arial"/>
                <w:color w:val="000000"/>
                <w:lang w:val="mn-MN"/>
              </w:rPr>
            </w:pPr>
            <w:r w:rsidRPr="00971BB6">
              <w:rPr>
                <w:rFonts w:eastAsia="Times New Roman" w:cs="Arial"/>
                <w:color w:val="000000"/>
              </w:rPr>
              <w:t xml:space="preserve">Most </w:t>
            </w:r>
            <w:proofErr w:type="spellStart"/>
            <w:r w:rsidRPr="00971BB6">
              <w:rPr>
                <w:rFonts w:eastAsia="Times New Roman" w:cs="Arial"/>
                <w:color w:val="000000"/>
              </w:rPr>
              <w:t>SoE</w:t>
            </w:r>
            <w:r w:rsidR="00891F36">
              <w:rPr>
                <w:rFonts w:eastAsia="Times New Roman" w:cs="Arial"/>
                <w:color w:val="000000"/>
              </w:rPr>
              <w:t>s</w:t>
            </w:r>
            <w:proofErr w:type="spellEnd"/>
            <w:r w:rsidRPr="00971BB6">
              <w:rPr>
                <w:rFonts w:eastAsia="Times New Roman" w:cs="Arial"/>
                <w:color w:val="000000"/>
              </w:rPr>
              <w:t xml:space="preserve"> have supported.</w:t>
            </w:r>
          </w:p>
        </w:tc>
      </w:tr>
      <w:tr w:rsidR="00F64F87" w:rsidRPr="00971BB6" w:rsidTr="00F64F87">
        <w:trPr>
          <w:trHeight w:val="701"/>
        </w:trPr>
        <w:tc>
          <w:tcPr>
            <w:tcW w:w="2279" w:type="dxa"/>
            <w:vMerge/>
            <w:vAlign w:val="center"/>
          </w:tcPr>
          <w:p w:rsidR="00F64F87" w:rsidRPr="00971BB6" w:rsidRDefault="00F64F87" w:rsidP="006D01F4">
            <w:pPr>
              <w:spacing w:after="0" w:line="240" w:lineRule="auto"/>
              <w:rPr>
                <w:rFonts w:eastAsia="Times New Roman" w:cs="Arial"/>
                <w:b/>
                <w:bCs/>
                <w:color w:val="000000"/>
                <w:lang w:val="mn-MN"/>
              </w:rPr>
            </w:pPr>
          </w:p>
        </w:tc>
        <w:tc>
          <w:tcPr>
            <w:tcW w:w="4500" w:type="dxa"/>
            <w:shd w:val="clear" w:color="auto" w:fill="auto"/>
          </w:tcPr>
          <w:p w:rsidR="00F64F87" w:rsidRPr="00971BB6" w:rsidRDefault="00F64F87" w:rsidP="006D01F4">
            <w:pPr>
              <w:pStyle w:val="TableParagraph"/>
              <w:tabs>
                <w:tab w:val="left" w:pos="353"/>
              </w:tabs>
              <w:spacing w:before="1"/>
              <w:ind w:right="81"/>
              <w:rPr>
                <w:rFonts w:asciiTheme="minorHAnsi" w:hAnsiTheme="minorHAnsi"/>
                <w:lang w:val="mn-MN"/>
              </w:rPr>
            </w:pPr>
            <w:r w:rsidRPr="00971BB6">
              <w:rPr>
                <w:rFonts w:asciiTheme="minorHAnsi" w:hAnsiTheme="minorHAnsi"/>
                <w:lang w:val="mn-MN"/>
              </w:rPr>
              <w:t xml:space="preserve">19.6. </w:t>
            </w:r>
            <w:r w:rsidRPr="00971BB6">
              <w:rPr>
                <w:rFonts w:asciiTheme="minorHAnsi" w:hAnsiTheme="minorHAnsi"/>
              </w:rPr>
              <w:t>Place Companies’ plan and report of Environment impact assessment and management at EITI website separately</w:t>
            </w:r>
            <w:r w:rsidRPr="00971BB6">
              <w:rPr>
                <w:rFonts w:asciiTheme="minorHAnsi" w:hAnsiTheme="minorHAnsi"/>
                <w:lang w:val="mn-MN"/>
              </w:rPr>
              <w:t>;</w:t>
            </w:r>
          </w:p>
        </w:tc>
        <w:tc>
          <w:tcPr>
            <w:tcW w:w="3330" w:type="dxa"/>
            <w:shd w:val="clear" w:color="auto" w:fill="auto"/>
          </w:tcPr>
          <w:p w:rsidR="00F64F87" w:rsidRPr="00971BB6" w:rsidRDefault="00F64F87" w:rsidP="006D01F4">
            <w:pPr>
              <w:spacing w:after="0" w:line="240" w:lineRule="auto"/>
              <w:rPr>
                <w:rFonts w:eastAsia="Times New Roman" w:cs="Arial"/>
                <w:color w:val="000000"/>
                <w:lang w:val="mn-MN"/>
              </w:rPr>
            </w:pPr>
            <w:r w:rsidRPr="00971BB6">
              <w:rPr>
                <w:rFonts w:eastAsia="Times New Roman" w:cs="Arial"/>
                <w:color w:val="000000"/>
              </w:rPr>
              <w:t xml:space="preserve">Emails are delivered to 1800 companies and </w:t>
            </w:r>
            <w:r w:rsidRPr="00971BB6">
              <w:rPr>
                <w:rFonts w:eastAsia="Times New Roman" w:cs="Arial"/>
                <w:color w:val="000000"/>
                <w:lang w:val="mn-MN"/>
              </w:rPr>
              <w:t xml:space="preserve"> 20 </w:t>
            </w:r>
            <w:r w:rsidRPr="00971BB6">
              <w:rPr>
                <w:rFonts w:eastAsia="Times New Roman" w:cs="Arial"/>
                <w:color w:val="000000"/>
              </w:rPr>
              <w:t>companies</w:t>
            </w:r>
            <w:r w:rsidRPr="00971BB6">
              <w:rPr>
                <w:rFonts w:eastAsia="Times New Roman" w:cs="Arial"/>
                <w:color w:val="000000"/>
                <w:lang w:val="mn-MN"/>
              </w:rPr>
              <w:t>.</w:t>
            </w:r>
          </w:p>
        </w:tc>
      </w:tr>
      <w:tr w:rsidR="00F64F87" w:rsidRPr="00971BB6" w:rsidTr="00F64F87">
        <w:trPr>
          <w:trHeight w:val="1274"/>
        </w:trPr>
        <w:tc>
          <w:tcPr>
            <w:tcW w:w="2279" w:type="dxa"/>
            <w:vMerge/>
            <w:vAlign w:val="center"/>
          </w:tcPr>
          <w:p w:rsidR="00F64F87" w:rsidRPr="00971BB6" w:rsidRDefault="00F64F87" w:rsidP="006D01F4">
            <w:pPr>
              <w:spacing w:after="0" w:line="240" w:lineRule="auto"/>
              <w:rPr>
                <w:rFonts w:eastAsia="Times New Roman" w:cs="Arial"/>
                <w:b/>
                <w:bCs/>
                <w:color w:val="000000"/>
                <w:lang w:val="mn-MN"/>
              </w:rPr>
            </w:pPr>
          </w:p>
        </w:tc>
        <w:tc>
          <w:tcPr>
            <w:tcW w:w="4500" w:type="dxa"/>
            <w:shd w:val="clear" w:color="auto" w:fill="auto"/>
          </w:tcPr>
          <w:p w:rsidR="00F64F87" w:rsidRPr="00971BB6" w:rsidRDefault="00F64F87" w:rsidP="006D01F4">
            <w:pPr>
              <w:spacing w:after="120"/>
              <w:jc w:val="both"/>
              <w:rPr>
                <w:rFonts w:cs="Arial"/>
                <w:lang w:val="mn-MN"/>
              </w:rPr>
            </w:pPr>
            <w:r w:rsidRPr="00971BB6">
              <w:rPr>
                <w:rFonts w:cs="Arial"/>
                <w:lang w:val="mn-MN"/>
              </w:rPr>
              <w:t xml:space="preserve">19.7. MSG should study major extractive companies and contractors in order to preselect those companies that make significant contribution to the state budget, and give official notification to such companies before entering their general information on the e-reporting system as well as enable the condition for them to submit reports and finanlly include them in the reconciliation. </w:t>
            </w:r>
          </w:p>
        </w:tc>
        <w:tc>
          <w:tcPr>
            <w:tcW w:w="3330" w:type="dxa"/>
            <w:shd w:val="clear" w:color="auto" w:fill="auto"/>
          </w:tcPr>
          <w:p w:rsidR="00F64F87" w:rsidRPr="00971BB6" w:rsidRDefault="00F64F87" w:rsidP="006D01F4">
            <w:pPr>
              <w:spacing w:after="0" w:line="240" w:lineRule="auto"/>
              <w:rPr>
                <w:rFonts w:eastAsia="Times New Roman" w:cs="Arial"/>
                <w:color w:val="000000"/>
                <w:lang w:val="mn-MN"/>
              </w:rPr>
            </w:pPr>
            <w:r w:rsidRPr="00971BB6">
              <w:rPr>
                <w:rFonts w:eastAsia="Times New Roman" w:cs="Arial"/>
                <w:color w:val="000000"/>
              </w:rPr>
              <w:t xml:space="preserve">Postponed to </w:t>
            </w:r>
            <w:r w:rsidRPr="00971BB6">
              <w:rPr>
                <w:rFonts w:eastAsia="Times New Roman" w:cs="Arial"/>
                <w:color w:val="000000"/>
                <w:lang w:val="mn-MN"/>
              </w:rPr>
              <w:t>2022</w:t>
            </w:r>
            <w:r w:rsidRPr="00971BB6">
              <w:rPr>
                <w:rFonts w:eastAsia="Times New Roman" w:cs="Arial"/>
                <w:color w:val="000000"/>
              </w:rPr>
              <w:t>.</w:t>
            </w:r>
          </w:p>
        </w:tc>
      </w:tr>
      <w:tr w:rsidR="00F64F87" w:rsidRPr="00971BB6" w:rsidTr="00F64F87">
        <w:trPr>
          <w:trHeight w:val="1268"/>
        </w:trPr>
        <w:tc>
          <w:tcPr>
            <w:tcW w:w="2279" w:type="dxa"/>
            <w:vMerge/>
            <w:vAlign w:val="center"/>
          </w:tcPr>
          <w:p w:rsidR="00F64F87" w:rsidRPr="00971BB6" w:rsidRDefault="00F64F87" w:rsidP="006D01F4">
            <w:pPr>
              <w:spacing w:after="0" w:line="240" w:lineRule="auto"/>
              <w:rPr>
                <w:rFonts w:eastAsia="Times New Roman" w:cs="Arial"/>
                <w:b/>
                <w:bCs/>
                <w:color w:val="000000"/>
                <w:lang w:val="mn-MN"/>
              </w:rPr>
            </w:pPr>
          </w:p>
        </w:tc>
        <w:tc>
          <w:tcPr>
            <w:tcW w:w="4500" w:type="dxa"/>
            <w:shd w:val="clear" w:color="auto" w:fill="auto"/>
          </w:tcPr>
          <w:p w:rsidR="00F64F87" w:rsidRPr="00971BB6" w:rsidRDefault="00F64F87" w:rsidP="006D01F4">
            <w:pPr>
              <w:tabs>
                <w:tab w:val="num" w:pos="1440"/>
              </w:tabs>
              <w:spacing w:before="120" w:after="240"/>
              <w:jc w:val="both"/>
              <w:rPr>
                <w:rFonts w:cs="Arial"/>
                <w:lang w:val="mn-MN"/>
              </w:rPr>
            </w:pPr>
            <w:r w:rsidRPr="00971BB6">
              <w:rPr>
                <w:rFonts w:cs="Arial"/>
                <w:lang w:val="mn-MN"/>
              </w:rPr>
              <w:t>19.8 Annual reconciliation reports provide recommendations for companies and government agencies on how to submit EITI reports and ensure the accuracy of the reports submitted, but no significant progress has been made so far. This shows the importance of adopting and enforcing the law on Transparency of Minerals Standard.</w:t>
            </w:r>
          </w:p>
        </w:tc>
        <w:tc>
          <w:tcPr>
            <w:tcW w:w="3330" w:type="dxa"/>
            <w:shd w:val="clear" w:color="auto" w:fill="auto"/>
          </w:tcPr>
          <w:p w:rsidR="00F64F87" w:rsidRPr="00971BB6" w:rsidRDefault="00F64F87" w:rsidP="006D01F4">
            <w:pPr>
              <w:spacing w:after="0" w:line="240" w:lineRule="auto"/>
              <w:rPr>
                <w:rFonts w:eastAsia="Times New Roman" w:cs="Arial"/>
                <w:color w:val="000000"/>
                <w:lang w:val="mn-MN"/>
              </w:rPr>
            </w:pPr>
            <w:r w:rsidRPr="00971BB6">
              <w:rPr>
                <w:rFonts w:eastAsia="Times New Roman" w:cs="Arial"/>
                <w:color w:val="000000"/>
              </w:rPr>
              <w:t>The issue shall be included and resolved in extractive sector transparency law.</w:t>
            </w:r>
          </w:p>
        </w:tc>
      </w:tr>
      <w:tr w:rsidR="00F64F87" w:rsidRPr="00971BB6" w:rsidTr="00F64F87">
        <w:trPr>
          <w:trHeight w:val="1331"/>
        </w:trPr>
        <w:tc>
          <w:tcPr>
            <w:tcW w:w="2279" w:type="dxa"/>
            <w:vMerge/>
            <w:vAlign w:val="center"/>
          </w:tcPr>
          <w:p w:rsidR="00F64F87" w:rsidRPr="00971BB6" w:rsidRDefault="00F64F87" w:rsidP="006D01F4">
            <w:pPr>
              <w:spacing w:after="0" w:line="240" w:lineRule="auto"/>
              <w:rPr>
                <w:rFonts w:eastAsia="Times New Roman" w:cs="Arial"/>
                <w:b/>
                <w:bCs/>
                <w:color w:val="000000"/>
                <w:lang w:val="mn-MN"/>
              </w:rPr>
            </w:pPr>
          </w:p>
        </w:tc>
        <w:tc>
          <w:tcPr>
            <w:tcW w:w="4500" w:type="dxa"/>
            <w:shd w:val="clear" w:color="auto" w:fill="auto"/>
          </w:tcPr>
          <w:p w:rsidR="00F64F87" w:rsidRPr="00971BB6" w:rsidRDefault="00F64F87" w:rsidP="006D01F4">
            <w:pPr>
              <w:spacing w:before="120" w:after="240"/>
              <w:jc w:val="both"/>
              <w:rPr>
                <w:rFonts w:cs="Arial"/>
                <w:lang w:val="mn-MN"/>
              </w:rPr>
            </w:pPr>
            <w:r w:rsidRPr="00971BB6">
              <w:rPr>
                <w:rFonts w:cs="Arial"/>
                <w:lang w:val="mn-MN"/>
              </w:rPr>
              <w:t xml:space="preserve">19.9. Changes to the law has affected the procedure of GTD to impose royalty and payment from companies, however, it did not affect controls over accurate EITI reporting, </w:t>
            </w:r>
            <w:r w:rsidRPr="00971BB6">
              <w:rPr>
                <w:rFonts w:cs="Arial"/>
                <w:lang w:val="mn-MN"/>
              </w:rPr>
              <w:lastRenderedPageBreak/>
              <w:t>imposing royalty and its payment. For this reason, GTD should improve their information system and expected to continue focusing accurate reporting to the EITI.</w:t>
            </w:r>
          </w:p>
        </w:tc>
        <w:tc>
          <w:tcPr>
            <w:tcW w:w="3330" w:type="dxa"/>
            <w:shd w:val="clear" w:color="auto" w:fill="auto"/>
          </w:tcPr>
          <w:p w:rsidR="00F64F87" w:rsidRPr="00971BB6" w:rsidRDefault="00F64F87" w:rsidP="006D01F4">
            <w:pPr>
              <w:spacing w:after="0" w:line="240" w:lineRule="auto"/>
              <w:rPr>
                <w:rFonts w:eastAsia="Times New Roman" w:cs="Arial"/>
                <w:color w:val="000000"/>
                <w:lang w:val="mn-MN"/>
              </w:rPr>
            </w:pPr>
            <w:r w:rsidRPr="00971BB6">
              <w:rPr>
                <w:rFonts w:eastAsia="Times New Roman" w:cs="Arial"/>
                <w:color w:val="000000"/>
              </w:rPr>
              <w:lastRenderedPageBreak/>
              <w:t xml:space="preserve">Postponed to </w:t>
            </w:r>
            <w:r w:rsidRPr="00971BB6">
              <w:rPr>
                <w:rFonts w:eastAsia="Times New Roman" w:cs="Arial"/>
                <w:color w:val="000000"/>
                <w:lang w:val="mn-MN"/>
              </w:rPr>
              <w:t>2022</w:t>
            </w:r>
            <w:r w:rsidRPr="00971BB6">
              <w:rPr>
                <w:rFonts w:eastAsia="Times New Roman" w:cs="Arial"/>
                <w:color w:val="000000"/>
              </w:rPr>
              <w:t>.</w:t>
            </w:r>
          </w:p>
        </w:tc>
      </w:tr>
      <w:tr w:rsidR="00F64F87" w:rsidRPr="00971BB6" w:rsidTr="00F64F87">
        <w:trPr>
          <w:trHeight w:val="1340"/>
        </w:trPr>
        <w:tc>
          <w:tcPr>
            <w:tcW w:w="2279" w:type="dxa"/>
            <w:vMerge/>
            <w:vAlign w:val="center"/>
          </w:tcPr>
          <w:p w:rsidR="00F64F87" w:rsidRPr="00971BB6" w:rsidRDefault="00F64F87" w:rsidP="006D01F4">
            <w:pPr>
              <w:spacing w:after="0" w:line="240" w:lineRule="auto"/>
              <w:rPr>
                <w:rFonts w:eastAsia="Times New Roman" w:cs="Arial"/>
                <w:b/>
                <w:bCs/>
                <w:color w:val="000000"/>
                <w:lang w:val="mn-MN"/>
              </w:rPr>
            </w:pPr>
          </w:p>
        </w:tc>
        <w:tc>
          <w:tcPr>
            <w:tcW w:w="4500" w:type="dxa"/>
            <w:shd w:val="clear" w:color="auto" w:fill="auto"/>
          </w:tcPr>
          <w:p w:rsidR="00F64F87" w:rsidRPr="00971BB6" w:rsidRDefault="00F64F87" w:rsidP="006D01F4">
            <w:pPr>
              <w:jc w:val="both"/>
              <w:rPr>
                <w:rFonts w:cs="Arial"/>
              </w:rPr>
            </w:pPr>
            <w:r w:rsidRPr="00971BB6">
              <w:rPr>
                <w:rFonts w:cs="Arial"/>
                <w:bCs/>
                <w:lang w:val="mn-MN"/>
              </w:rPr>
              <w:t xml:space="preserve">19.10. </w:t>
            </w:r>
            <w:r w:rsidRPr="00971BB6">
              <w:rPr>
                <w:rFonts w:cs="Arial"/>
                <w:lang w:val="mn-MN"/>
              </w:rPr>
              <w:t>Differences in information between the MRPAM cadastre system and the EITI electronic system need to be resolved, and an electronic reporting system needs to be run on a single source. Information on common mineral licenses issued in rural areas should be entered into the cadastral system without delay and made available to the public.</w:t>
            </w:r>
          </w:p>
        </w:tc>
        <w:tc>
          <w:tcPr>
            <w:tcW w:w="3330" w:type="dxa"/>
            <w:shd w:val="clear" w:color="auto" w:fill="auto"/>
          </w:tcPr>
          <w:p w:rsidR="00F64F87" w:rsidRPr="00971BB6" w:rsidRDefault="00F64F87" w:rsidP="006D01F4">
            <w:pPr>
              <w:spacing w:after="0" w:line="240" w:lineRule="auto"/>
              <w:rPr>
                <w:rFonts w:eastAsia="Times New Roman" w:cs="Arial"/>
                <w:color w:val="000000"/>
                <w:lang w:val="mn-MN"/>
              </w:rPr>
            </w:pPr>
            <w:r w:rsidRPr="00971BB6">
              <w:rPr>
                <w:rFonts w:eastAsia="Times New Roman" w:cs="Arial"/>
                <w:color w:val="000000"/>
              </w:rPr>
              <w:t>More 10 aimags replied there is no discrepancies</w:t>
            </w:r>
            <w:r w:rsidRPr="00971BB6">
              <w:rPr>
                <w:rFonts w:eastAsia="Times New Roman" w:cs="Arial"/>
                <w:color w:val="000000"/>
                <w:lang w:val="mn-MN"/>
              </w:rPr>
              <w:t>.</w:t>
            </w:r>
          </w:p>
        </w:tc>
      </w:tr>
      <w:tr w:rsidR="00F64F87" w:rsidRPr="00971BB6" w:rsidTr="00F64F87">
        <w:trPr>
          <w:trHeight w:val="800"/>
        </w:trPr>
        <w:tc>
          <w:tcPr>
            <w:tcW w:w="2279" w:type="dxa"/>
            <w:vMerge/>
            <w:vAlign w:val="center"/>
          </w:tcPr>
          <w:p w:rsidR="00F64F87" w:rsidRPr="00971BB6" w:rsidRDefault="00F64F87" w:rsidP="006D01F4">
            <w:pPr>
              <w:spacing w:after="0" w:line="240" w:lineRule="auto"/>
              <w:rPr>
                <w:rFonts w:eastAsia="Times New Roman" w:cs="Arial"/>
                <w:b/>
                <w:bCs/>
                <w:color w:val="000000"/>
                <w:lang w:val="mn-MN"/>
              </w:rPr>
            </w:pPr>
          </w:p>
        </w:tc>
        <w:tc>
          <w:tcPr>
            <w:tcW w:w="4500" w:type="dxa"/>
            <w:shd w:val="clear" w:color="auto" w:fill="auto"/>
          </w:tcPr>
          <w:p w:rsidR="00F64F87" w:rsidRPr="00971BB6" w:rsidRDefault="00F64F87" w:rsidP="006D01F4">
            <w:pPr>
              <w:spacing w:after="120"/>
              <w:jc w:val="both"/>
              <w:rPr>
                <w:rFonts w:cs="Arial"/>
              </w:rPr>
            </w:pPr>
            <w:r w:rsidRPr="00971BB6">
              <w:rPr>
                <w:rFonts w:cs="Arial"/>
                <w:lang w:val="mn-MN"/>
              </w:rPr>
              <w:t xml:space="preserve">19.10. </w:t>
            </w:r>
            <w:r w:rsidRPr="00971BB6">
              <w:rPr>
                <w:rFonts w:cs="Arial"/>
              </w:rPr>
              <w:t>Stakeholders must verify the information they receive electronically and make it available to the public, or information on selected companies should be evaluated and improved by an independent administrator and made public.</w:t>
            </w:r>
          </w:p>
        </w:tc>
        <w:tc>
          <w:tcPr>
            <w:tcW w:w="3330" w:type="dxa"/>
            <w:shd w:val="clear" w:color="auto" w:fill="auto"/>
          </w:tcPr>
          <w:p w:rsidR="00F64F87" w:rsidRPr="00971BB6" w:rsidRDefault="00F64F87" w:rsidP="006D01F4">
            <w:pPr>
              <w:spacing w:after="0" w:line="240" w:lineRule="auto"/>
              <w:rPr>
                <w:rFonts w:eastAsia="Times New Roman" w:cs="Arial"/>
                <w:color w:val="000000"/>
                <w:lang w:val="mn-MN"/>
              </w:rPr>
            </w:pPr>
            <w:r w:rsidRPr="00971BB6">
              <w:rPr>
                <w:rFonts w:eastAsia="Times New Roman" w:cs="Arial"/>
                <w:color w:val="000000"/>
              </w:rPr>
              <w:t xml:space="preserve">The issue will be included into TORs of </w:t>
            </w:r>
            <w:r w:rsidRPr="00971BB6">
              <w:rPr>
                <w:rFonts w:eastAsia="Times New Roman" w:cs="Arial"/>
                <w:color w:val="000000"/>
                <w:lang w:val="mn-MN"/>
              </w:rPr>
              <w:t>2021</w:t>
            </w:r>
            <w:r w:rsidRPr="00971BB6">
              <w:rPr>
                <w:rFonts w:eastAsia="Times New Roman" w:cs="Arial"/>
                <w:color w:val="000000"/>
              </w:rPr>
              <w:t xml:space="preserve"> Reconciliation report.</w:t>
            </w:r>
          </w:p>
        </w:tc>
      </w:tr>
      <w:tr w:rsidR="00F64F87" w:rsidRPr="00971BB6" w:rsidTr="00F64F87">
        <w:trPr>
          <w:trHeight w:val="530"/>
        </w:trPr>
        <w:tc>
          <w:tcPr>
            <w:tcW w:w="2279" w:type="dxa"/>
            <w:vMerge/>
            <w:vAlign w:val="center"/>
          </w:tcPr>
          <w:p w:rsidR="00F64F87" w:rsidRPr="00971BB6" w:rsidRDefault="00F64F87" w:rsidP="006D01F4">
            <w:pPr>
              <w:spacing w:after="0" w:line="240" w:lineRule="auto"/>
              <w:rPr>
                <w:rFonts w:eastAsia="Times New Roman" w:cs="Arial"/>
                <w:b/>
                <w:bCs/>
                <w:color w:val="000000"/>
                <w:lang w:val="mn-MN"/>
              </w:rPr>
            </w:pPr>
          </w:p>
        </w:tc>
        <w:tc>
          <w:tcPr>
            <w:tcW w:w="4500" w:type="dxa"/>
            <w:shd w:val="clear" w:color="auto" w:fill="auto"/>
          </w:tcPr>
          <w:p w:rsidR="00F64F87" w:rsidRPr="00971BB6" w:rsidRDefault="00F64F87" w:rsidP="006D01F4">
            <w:pPr>
              <w:spacing w:after="120"/>
              <w:jc w:val="both"/>
              <w:rPr>
                <w:rFonts w:cs="Arial"/>
              </w:rPr>
            </w:pPr>
            <w:r w:rsidRPr="00971BB6">
              <w:rPr>
                <w:rFonts w:cs="Arial"/>
                <w:lang w:val="mn-MN"/>
              </w:rPr>
              <w:t xml:space="preserve">19.11 </w:t>
            </w:r>
            <w:r w:rsidRPr="00971BB6">
              <w:rPr>
                <w:rFonts w:cs="Arial"/>
              </w:rPr>
              <w:t>Stakeholders must verify the information they receive electronically and make it available to the public, or information on selected companies should be evaluated and improved by an independent administrator and made public.</w:t>
            </w:r>
          </w:p>
        </w:tc>
        <w:tc>
          <w:tcPr>
            <w:tcW w:w="3330" w:type="dxa"/>
            <w:shd w:val="clear" w:color="auto" w:fill="auto"/>
          </w:tcPr>
          <w:p w:rsidR="00F64F87" w:rsidRPr="00971BB6" w:rsidRDefault="00F64F87" w:rsidP="006D01F4">
            <w:pPr>
              <w:spacing w:after="0" w:line="240" w:lineRule="auto"/>
              <w:rPr>
                <w:rFonts w:eastAsia="Times New Roman" w:cs="Arial"/>
                <w:color w:val="000000"/>
                <w:lang w:val="mn-MN"/>
              </w:rPr>
            </w:pPr>
            <w:r w:rsidRPr="00971BB6">
              <w:rPr>
                <w:rFonts w:eastAsia="Times New Roman" w:cs="Arial"/>
                <w:color w:val="000000"/>
              </w:rPr>
              <w:t xml:space="preserve">Most </w:t>
            </w:r>
            <w:proofErr w:type="spellStart"/>
            <w:r w:rsidRPr="00971BB6">
              <w:rPr>
                <w:rFonts w:eastAsia="Times New Roman" w:cs="Arial"/>
                <w:color w:val="000000"/>
              </w:rPr>
              <w:t>SoE</w:t>
            </w:r>
            <w:proofErr w:type="spellEnd"/>
            <w:r w:rsidRPr="00971BB6">
              <w:rPr>
                <w:rFonts w:eastAsia="Times New Roman" w:cs="Arial"/>
                <w:color w:val="000000"/>
              </w:rPr>
              <w:t xml:space="preserve"> have supported.</w:t>
            </w:r>
          </w:p>
        </w:tc>
      </w:tr>
      <w:tr w:rsidR="00F64F87" w:rsidRPr="00971BB6" w:rsidTr="00F64F87">
        <w:trPr>
          <w:trHeight w:val="530"/>
        </w:trPr>
        <w:tc>
          <w:tcPr>
            <w:tcW w:w="2279" w:type="dxa"/>
            <w:vMerge/>
            <w:vAlign w:val="center"/>
          </w:tcPr>
          <w:p w:rsidR="00F64F87" w:rsidRPr="00971BB6" w:rsidRDefault="00F64F87" w:rsidP="006D01F4">
            <w:pPr>
              <w:spacing w:after="0" w:line="240" w:lineRule="auto"/>
              <w:rPr>
                <w:rFonts w:eastAsia="Times New Roman" w:cs="Arial"/>
                <w:b/>
                <w:bCs/>
                <w:color w:val="000000"/>
                <w:lang w:val="mn-MN"/>
              </w:rPr>
            </w:pPr>
          </w:p>
        </w:tc>
        <w:tc>
          <w:tcPr>
            <w:tcW w:w="4500" w:type="dxa"/>
            <w:shd w:val="clear" w:color="auto" w:fill="auto"/>
          </w:tcPr>
          <w:p w:rsidR="00F64F87" w:rsidRPr="00971BB6" w:rsidRDefault="00F64F87" w:rsidP="006D01F4">
            <w:pPr>
              <w:tabs>
                <w:tab w:val="left" w:pos="3105"/>
              </w:tabs>
              <w:spacing w:after="0"/>
              <w:rPr>
                <w:rFonts w:cs="Arial"/>
                <w:lang w:val="mn-MN"/>
              </w:rPr>
            </w:pPr>
            <w:r w:rsidRPr="00971BB6">
              <w:rPr>
                <w:rFonts w:cs="Arial"/>
                <w:lang w:val="mn-MN"/>
              </w:rPr>
              <w:t>19.12. Comprehensive audited financial statements of all extractive entities should be published electronically, especially on webpages of those entities, National Audit Office, EITI and MRPAM.</w:t>
            </w:r>
          </w:p>
        </w:tc>
        <w:tc>
          <w:tcPr>
            <w:tcW w:w="3330" w:type="dxa"/>
            <w:shd w:val="clear" w:color="auto" w:fill="auto"/>
          </w:tcPr>
          <w:p w:rsidR="00F64F87" w:rsidRPr="00971BB6" w:rsidRDefault="00F64F87" w:rsidP="006D01F4">
            <w:pPr>
              <w:spacing w:after="0" w:line="240" w:lineRule="auto"/>
              <w:rPr>
                <w:rFonts w:eastAsia="Times New Roman" w:cs="Arial"/>
                <w:color w:val="000000"/>
                <w:lang w:val="mn-MN"/>
              </w:rPr>
            </w:pPr>
            <w:r w:rsidRPr="00971BB6">
              <w:rPr>
                <w:rFonts w:eastAsia="Times New Roman" w:cs="Arial"/>
                <w:color w:val="000000"/>
              </w:rPr>
              <w:t xml:space="preserve">Most </w:t>
            </w:r>
            <w:proofErr w:type="spellStart"/>
            <w:r w:rsidRPr="00971BB6">
              <w:rPr>
                <w:rFonts w:eastAsia="Times New Roman" w:cs="Arial"/>
                <w:color w:val="000000"/>
              </w:rPr>
              <w:t>SoE</w:t>
            </w:r>
            <w:proofErr w:type="spellEnd"/>
            <w:r w:rsidRPr="00971BB6">
              <w:rPr>
                <w:rFonts w:eastAsia="Times New Roman" w:cs="Arial"/>
                <w:color w:val="000000"/>
              </w:rPr>
              <w:t xml:space="preserve"> have supported.</w:t>
            </w:r>
          </w:p>
        </w:tc>
      </w:tr>
      <w:tr w:rsidR="00F64F87" w:rsidRPr="00971BB6" w:rsidTr="00F64F87">
        <w:trPr>
          <w:trHeight w:val="971"/>
        </w:trPr>
        <w:tc>
          <w:tcPr>
            <w:tcW w:w="2279" w:type="dxa"/>
            <w:vMerge/>
            <w:vAlign w:val="center"/>
          </w:tcPr>
          <w:p w:rsidR="00F64F87" w:rsidRPr="00971BB6" w:rsidRDefault="00F64F87" w:rsidP="006D01F4">
            <w:pPr>
              <w:spacing w:after="0" w:line="240" w:lineRule="auto"/>
              <w:rPr>
                <w:rFonts w:eastAsia="Times New Roman" w:cs="Arial"/>
                <w:b/>
                <w:bCs/>
                <w:color w:val="000000"/>
                <w:lang w:val="mn-MN"/>
              </w:rPr>
            </w:pPr>
          </w:p>
        </w:tc>
        <w:tc>
          <w:tcPr>
            <w:tcW w:w="4500" w:type="dxa"/>
            <w:shd w:val="clear" w:color="auto" w:fill="auto"/>
          </w:tcPr>
          <w:p w:rsidR="00F64F87" w:rsidRPr="00971BB6" w:rsidRDefault="00F64F87" w:rsidP="006D01F4">
            <w:pPr>
              <w:tabs>
                <w:tab w:val="left" w:pos="3105"/>
              </w:tabs>
              <w:rPr>
                <w:rFonts w:cs="Arial"/>
                <w:lang w:val="mn-MN"/>
              </w:rPr>
            </w:pPr>
            <w:r w:rsidRPr="00971BB6">
              <w:rPr>
                <w:rFonts w:cs="Arial"/>
                <w:iCs/>
                <w:lang w:val="mn-MN"/>
              </w:rPr>
              <w:t xml:space="preserve">19.13. </w:t>
            </w:r>
            <w:r w:rsidRPr="00971BB6">
              <w:rPr>
                <w:rFonts w:cs="Arial"/>
                <w:lang w:val="mn-MN"/>
              </w:rPr>
              <w:t>According to the law on Glass Account, SOEs should disclose their information, for example dividend payments on webpages of PCSP and other relevant authorities.</w:t>
            </w:r>
          </w:p>
        </w:tc>
        <w:tc>
          <w:tcPr>
            <w:tcW w:w="3330" w:type="dxa"/>
            <w:shd w:val="clear" w:color="auto" w:fill="auto"/>
          </w:tcPr>
          <w:p w:rsidR="00F64F87" w:rsidRPr="00971BB6" w:rsidRDefault="00F64F87" w:rsidP="006D01F4">
            <w:pPr>
              <w:spacing w:after="0" w:line="240" w:lineRule="auto"/>
              <w:rPr>
                <w:rFonts w:eastAsia="Times New Roman" w:cs="Arial"/>
                <w:color w:val="000000"/>
                <w:lang w:val="mn-MN"/>
              </w:rPr>
            </w:pPr>
          </w:p>
          <w:p w:rsidR="00F64F87" w:rsidRPr="00971BB6" w:rsidRDefault="00F64F87" w:rsidP="006D01F4">
            <w:pPr>
              <w:spacing w:after="0" w:line="240" w:lineRule="auto"/>
              <w:rPr>
                <w:rFonts w:eastAsia="Times New Roman" w:cs="Arial"/>
                <w:color w:val="000000"/>
                <w:lang w:val="mn-MN"/>
              </w:rPr>
            </w:pPr>
            <w:r w:rsidRPr="00971BB6">
              <w:rPr>
                <w:rFonts w:eastAsia="Times New Roman" w:cs="Arial"/>
                <w:color w:val="000000"/>
              </w:rPr>
              <w:t xml:space="preserve">Most </w:t>
            </w:r>
            <w:proofErr w:type="spellStart"/>
            <w:r w:rsidRPr="00971BB6">
              <w:rPr>
                <w:rFonts w:eastAsia="Times New Roman" w:cs="Arial"/>
                <w:color w:val="000000"/>
              </w:rPr>
              <w:t>SoE</w:t>
            </w:r>
            <w:proofErr w:type="spellEnd"/>
            <w:r w:rsidRPr="00971BB6">
              <w:rPr>
                <w:rFonts w:eastAsia="Times New Roman" w:cs="Arial"/>
                <w:color w:val="000000"/>
              </w:rPr>
              <w:t xml:space="preserve"> have supported.</w:t>
            </w:r>
          </w:p>
          <w:p w:rsidR="00F64F87" w:rsidRPr="00971BB6" w:rsidRDefault="00F64F87" w:rsidP="006D01F4">
            <w:pPr>
              <w:spacing w:after="0" w:line="240" w:lineRule="auto"/>
              <w:rPr>
                <w:rFonts w:eastAsia="Times New Roman" w:cs="Arial"/>
                <w:color w:val="000000"/>
                <w:lang w:val="mn-MN"/>
              </w:rPr>
            </w:pPr>
          </w:p>
        </w:tc>
      </w:tr>
      <w:tr w:rsidR="00F64F87" w:rsidRPr="00971BB6" w:rsidTr="00F64F87">
        <w:trPr>
          <w:trHeight w:val="1274"/>
        </w:trPr>
        <w:tc>
          <w:tcPr>
            <w:tcW w:w="2279" w:type="dxa"/>
            <w:vMerge w:val="restart"/>
            <w:vAlign w:val="center"/>
          </w:tcPr>
          <w:p w:rsidR="00F64F87" w:rsidRPr="00971BB6" w:rsidRDefault="00F64F87" w:rsidP="006D01F4">
            <w:pPr>
              <w:spacing w:after="0" w:line="240" w:lineRule="auto"/>
              <w:rPr>
                <w:rFonts w:eastAsia="Times New Roman" w:cs="Arial"/>
                <w:b/>
                <w:bCs/>
                <w:color w:val="000000"/>
                <w:lang w:val="mn-MN"/>
              </w:rPr>
            </w:pPr>
          </w:p>
        </w:tc>
        <w:tc>
          <w:tcPr>
            <w:tcW w:w="4500" w:type="dxa"/>
            <w:shd w:val="clear" w:color="auto" w:fill="auto"/>
          </w:tcPr>
          <w:p w:rsidR="00F64F87" w:rsidRPr="00971BB6" w:rsidRDefault="00F64F87" w:rsidP="006D01F4">
            <w:pPr>
              <w:rPr>
                <w:rFonts w:eastAsia="Times New Roman" w:cs="Arial"/>
                <w:lang w:val="mn-MN"/>
              </w:rPr>
            </w:pPr>
            <w:r w:rsidRPr="00971BB6">
              <w:rPr>
                <w:rFonts w:eastAsia="Times New Roman" w:cs="Arial"/>
                <w:lang w:val="mn-MN"/>
              </w:rPr>
              <w:t>19.14. MSG should pay attention to the fact that as the involvement of independent administrator decreases, the quality and accuracy of the data will be more crucial when taking actions below:</w:t>
            </w:r>
          </w:p>
          <w:p w:rsidR="00F64F87" w:rsidRPr="00971BB6" w:rsidRDefault="00F64F87" w:rsidP="006D01F4">
            <w:pPr>
              <w:rPr>
                <w:rFonts w:cs="Arial"/>
                <w:lang w:val="mn-MN"/>
              </w:rPr>
            </w:pPr>
            <w:r w:rsidRPr="00971BB6">
              <w:rPr>
                <w:rFonts w:eastAsia="Times New Roman" w:cs="Arial"/>
                <w:lang w:val="mn-MN"/>
              </w:rPr>
              <w:t xml:space="preserve">1. Provide training and consulting to entities not reporting the information with most </w:t>
            </w:r>
            <w:r w:rsidRPr="00971BB6">
              <w:rPr>
                <w:rFonts w:eastAsia="Times New Roman" w:cs="Arial"/>
                <w:lang w:val="mn-MN"/>
              </w:rPr>
              <w:lastRenderedPageBreak/>
              <w:t>discrepancies or not taking responsibility to report.</w:t>
            </w:r>
          </w:p>
          <w:p w:rsidR="00F64F87" w:rsidRPr="00971BB6" w:rsidRDefault="00F64F87" w:rsidP="006D01F4">
            <w:pPr>
              <w:spacing w:after="0" w:line="276" w:lineRule="auto"/>
              <w:jc w:val="both"/>
              <w:rPr>
                <w:rFonts w:eastAsia="Times New Roman" w:cs="Arial"/>
                <w:lang w:val="mn-MN"/>
              </w:rPr>
            </w:pPr>
            <w:r w:rsidRPr="00971BB6">
              <w:rPr>
                <w:rFonts w:eastAsia="Times New Roman" w:cs="Arial"/>
                <w:lang w:val="mn-MN"/>
              </w:rPr>
              <w:t xml:space="preserve">2. Official letter of Mongolia EITI 2019 reconciliation report should be delivered and be advised on cooperation. </w:t>
            </w:r>
          </w:p>
          <w:p w:rsidR="00F64F87" w:rsidRPr="00971BB6" w:rsidRDefault="00F64F87" w:rsidP="006D01F4">
            <w:pPr>
              <w:spacing w:after="0" w:line="276" w:lineRule="auto"/>
              <w:jc w:val="both"/>
              <w:rPr>
                <w:rFonts w:eastAsia="Times New Roman" w:cs="Arial"/>
                <w:lang w:val="mn-MN"/>
              </w:rPr>
            </w:pPr>
            <w:r w:rsidRPr="00971BB6">
              <w:rPr>
                <w:rFonts w:eastAsia="Times New Roman" w:cs="Arial"/>
                <w:lang w:val="mn-MN"/>
              </w:rPr>
              <w:t xml:space="preserve">Official letter of Mongolia EITI 2019 reconciliation report should be delivered and be advised on cooperation. </w:t>
            </w:r>
          </w:p>
          <w:p w:rsidR="00F64F87" w:rsidRPr="00971BB6" w:rsidRDefault="00F64F87" w:rsidP="006D01F4">
            <w:pPr>
              <w:rPr>
                <w:rFonts w:cs="Arial"/>
                <w:lang w:val="mn-MN"/>
              </w:rPr>
            </w:pPr>
            <w:r w:rsidRPr="00971BB6">
              <w:rPr>
                <w:rFonts w:eastAsia="Times New Roman" w:cs="Arial"/>
              </w:rPr>
              <w:t xml:space="preserve"> </w:t>
            </w:r>
            <w:r w:rsidRPr="00971BB6">
              <w:rPr>
                <w:rFonts w:eastAsia="Times New Roman" w:cs="Arial"/>
                <w:lang w:val="mn-MN"/>
              </w:rPr>
              <w:t xml:space="preserve">3. Information on the webpage of EITI secretariat should be regularly updated. There are some outdated information related to 2013. </w:t>
            </w:r>
          </w:p>
        </w:tc>
        <w:tc>
          <w:tcPr>
            <w:tcW w:w="3330" w:type="dxa"/>
            <w:shd w:val="clear" w:color="auto" w:fill="auto"/>
          </w:tcPr>
          <w:p w:rsidR="00F64F87" w:rsidRPr="00971BB6" w:rsidRDefault="00F64F87" w:rsidP="006D01F4">
            <w:pPr>
              <w:spacing w:after="0" w:line="240" w:lineRule="auto"/>
              <w:rPr>
                <w:rFonts w:eastAsia="Times New Roman" w:cs="Arial"/>
                <w:color w:val="000000"/>
              </w:rPr>
            </w:pPr>
          </w:p>
          <w:p w:rsidR="00F64F87" w:rsidRPr="00971BB6" w:rsidRDefault="00F64F87" w:rsidP="006D01F4">
            <w:pPr>
              <w:spacing w:after="0" w:line="240" w:lineRule="auto"/>
              <w:rPr>
                <w:rFonts w:eastAsia="Times New Roman" w:cs="Arial"/>
                <w:color w:val="000000"/>
              </w:rPr>
            </w:pPr>
          </w:p>
          <w:p w:rsidR="00F64F87" w:rsidRPr="00971BB6" w:rsidRDefault="00F64F87" w:rsidP="006D01F4">
            <w:pPr>
              <w:spacing w:after="0" w:line="240" w:lineRule="auto"/>
              <w:rPr>
                <w:rFonts w:eastAsia="Times New Roman" w:cs="Arial"/>
                <w:color w:val="000000"/>
              </w:rPr>
            </w:pPr>
          </w:p>
          <w:p w:rsidR="00F64F87" w:rsidRPr="00971BB6" w:rsidRDefault="00F64F87" w:rsidP="006D01F4">
            <w:pPr>
              <w:spacing w:after="0" w:line="240" w:lineRule="auto"/>
              <w:rPr>
                <w:rFonts w:eastAsia="Times New Roman" w:cs="Arial"/>
                <w:color w:val="000000"/>
              </w:rPr>
            </w:pPr>
          </w:p>
          <w:p w:rsidR="00F64F87" w:rsidRPr="00971BB6" w:rsidRDefault="00F64F87" w:rsidP="006D01F4">
            <w:pPr>
              <w:spacing w:after="0" w:line="240" w:lineRule="auto"/>
              <w:rPr>
                <w:rFonts w:eastAsia="Times New Roman" w:cs="Arial"/>
                <w:color w:val="000000"/>
              </w:rPr>
            </w:pPr>
          </w:p>
          <w:p w:rsidR="00F64F87" w:rsidRPr="00971BB6" w:rsidRDefault="00F64F87" w:rsidP="006D01F4">
            <w:pPr>
              <w:spacing w:after="0" w:line="240" w:lineRule="auto"/>
              <w:rPr>
                <w:rFonts w:eastAsia="Times New Roman" w:cs="Arial"/>
                <w:color w:val="000000"/>
              </w:rPr>
            </w:pPr>
          </w:p>
          <w:p w:rsidR="00F64F87" w:rsidRPr="00971BB6" w:rsidRDefault="00F64F87" w:rsidP="006D01F4">
            <w:pPr>
              <w:spacing w:after="0" w:line="240" w:lineRule="auto"/>
              <w:rPr>
                <w:rFonts w:eastAsia="Times New Roman" w:cs="Arial"/>
                <w:color w:val="000000"/>
                <w:lang w:val="mn-MN"/>
              </w:rPr>
            </w:pPr>
            <w:r w:rsidRPr="00971BB6">
              <w:rPr>
                <w:rFonts w:eastAsia="Times New Roman" w:cs="Arial"/>
                <w:color w:val="000000"/>
              </w:rPr>
              <w:t>Mongolia EITI 2</w:t>
            </w:r>
            <w:r w:rsidRPr="00971BB6">
              <w:rPr>
                <w:rFonts w:eastAsia="Times New Roman" w:cs="Arial"/>
                <w:color w:val="000000"/>
                <w:lang w:val="mn-MN"/>
              </w:rPr>
              <w:t xml:space="preserve">019 </w:t>
            </w:r>
            <w:r w:rsidRPr="00971BB6">
              <w:rPr>
                <w:rFonts w:eastAsia="Times New Roman" w:cs="Arial"/>
                <w:color w:val="000000"/>
              </w:rPr>
              <w:t>Report is posted at www.eitimongolia.mn</w:t>
            </w:r>
            <w:r w:rsidRPr="00971BB6">
              <w:rPr>
                <w:rFonts w:eastAsia="Times New Roman" w:cs="Arial"/>
                <w:color w:val="000000"/>
                <w:lang w:val="mn-MN"/>
              </w:rPr>
              <w:t>.</w:t>
            </w:r>
          </w:p>
          <w:p w:rsidR="00F64F87" w:rsidRPr="00971BB6" w:rsidRDefault="00F64F87" w:rsidP="006D01F4">
            <w:pPr>
              <w:spacing w:after="0" w:line="240" w:lineRule="auto"/>
              <w:rPr>
                <w:rFonts w:eastAsia="Times New Roman" w:cs="Arial"/>
                <w:color w:val="000000"/>
                <w:lang w:val="mn-MN"/>
              </w:rPr>
            </w:pPr>
          </w:p>
          <w:p w:rsidR="00F64F87" w:rsidRPr="00971BB6" w:rsidRDefault="00F64F87" w:rsidP="006D01F4">
            <w:pPr>
              <w:spacing w:after="0" w:line="240" w:lineRule="auto"/>
              <w:rPr>
                <w:rFonts w:eastAsia="Times New Roman" w:cs="Arial"/>
                <w:color w:val="000000"/>
                <w:lang w:val="mn-MN"/>
              </w:rPr>
            </w:pPr>
          </w:p>
          <w:p w:rsidR="00F64F87" w:rsidRPr="00971BB6" w:rsidRDefault="00F64F87" w:rsidP="006D01F4">
            <w:pPr>
              <w:spacing w:after="0" w:line="240" w:lineRule="auto"/>
              <w:rPr>
                <w:rFonts w:eastAsia="Times New Roman" w:cs="Arial"/>
                <w:color w:val="000000"/>
                <w:lang w:val="mn-MN"/>
              </w:rPr>
            </w:pPr>
          </w:p>
          <w:p w:rsidR="00F64F87" w:rsidRPr="00971BB6" w:rsidRDefault="00F64F87" w:rsidP="006D01F4">
            <w:pPr>
              <w:spacing w:after="0" w:line="240" w:lineRule="auto"/>
              <w:rPr>
                <w:rFonts w:eastAsia="Times New Roman" w:cs="Arial"/>
                <w:color w:val="000000"/>
                <w:lang w:val="mn-MN"/>
              </w:rPr>
            </w:pPr>
            <w:r w:rsidRPr="00971BB6">
              <w:rPr>
                <w:rFonts w:eastAsia="Times New Roman" w:cs="Arial"/>
                <w:color w:val="000000"/>
              </w:rPr>
              <w:t>Mongolia EITI 2</w:t>
            </w:r>
            <w:r w:rsidRPr="00971BB6">
              <w:rPr>
                <w:rFonts w:eastAsia="Times New Roman" w:cs="Arial"/>
                <w:color w:val="000000"/>
                <w:lang w:val="mn-MN"/>
              </w:rPr>
              <w:t xml:space="preserve">019 </w:t>
            </w:r>
            <w:r w:rsidRPr="00971BB6">
              <w:rPr>
                <w:rFonts w:eastAsia="Times New Roman" w:cs="Arial"/>
                <w:color w:val="000000"/>
              </w:rPr>
              <w:t>Report is posted at www.eitimongolia.mn</w:t>
            </w:r>
            <w:r w:rsidRPr="00971BB6">
              <w:rPr>
                <w:rFonts w:eastAsia="Times New Roman" w:cs="Arial"/>
                <w:color w:val="000000"/>
                <w:lang w:val="mn-MN"/>
              </w:rPr>
              <w:t>.</w:t>
            </w:r>
          </w:p>
          <w:p w:rsidR="00F64F87" w:rsidRPr="00971BB6" w:rsidRDefault="00F64F87" w:rsidP="006D01F4">
            <w:pPr>
              <w:spacing w:after="0" w:line="240" w:lineRule="auto"/>
              <w:rPr>
                <w:rFonts w:eastAsia="Times New Roman" w:cs="Arial"/>
                <w:color w:val="000000"/>
                <w:lang w:val="mn-MN"/>
              </w:rPr>
            </w:pPr>
          </w:p>
          <w:p w:rsidR="00F64F87" w:rsidRPr="00971BB6" w:rsidRDefault="00F64F87" w:rsidP="006D01F4">
            <w:pPr>
              <w:spacing w:after="0" w:line="240" w:lineRule="auto"/>
              <w:rPr>
                <w:rFonts w:eastAsia="Times New Roman" w:cs="Arial"/>
                <w:color w:val="000000"/>
                <w:lang w:val="mn-MN"/>
              </w:rPr>
            </w:pPr>
          </w:p>
          <w:p w:rsidR="00F64F87" w:rsidRPr="00971BB6" w:rsidRDefault="00F64F87" w:rsidP="006D01F4">
            <w:pPr>
              <w:spacing w:after="0" w:line="240" w:lineRule="auto"/>
              <w:rPr>
                <w:rFonts w:eastAsia="Times New Roman" w:cs="Arial"/>
                <w:color w:val="000000"/>
                <w:lang w:val="mn-MN"/>
              </w:rPr>
            </w:pPr>
            <w:r w:rsidRPr="00971BB6">
              <w:rPr>
                <w:rFonts w:eastAsia="Times New Roman" w:cs="Arial"/>
                <w:color w:val="000000"/>
              </w:rPr>
              <w:t>Data at Website is regularly updated.</w:t>
            </w:r>
          </w:p>
        </w:tc>
      </w:tr>
      <w:tr w:rsidR="00F64F87" w:rsidRPr="00971BB6" w:rsidTr="00F64F87">
        <w:trPr>
          <w:trHeight w:val="1274"/>
        </w:trPr>
        <w:tc>
          <w:tcPr>
            <w:tcW w:w="2279" w:type="dxa"/>
            <w:vMerge/>
            <w:vAlign w:val="center"/>
          </w:tcPr>
          <w:p w:rsidR="00F64F87" w:rsidRPr="00971BB6" w:rsidRDefault="00F64F87" w:rsidP="006D01F4">
            <w:pPr>
              <w:spacing w:after="0" w:line="240" w:lineRule="auto"/>
              <w:rPr>
                <w:rFonts w:eastAsia="Times New Roman" w:cs="Arial"/>
                <w:b/>
                <w:bCs/>
                <w:color w:val="000000"/>
                <w:lang w:val="mn-MN"/>
              </w:rPr>
            </w:pPr>
          </w:p>
        </w:tc>
        <w:tc>
          <w:tcPr>
            <w:tcW w:w="4500" w:type="dxa"/>
            <w:shd w:val="clear" w:color="auto" w:fill="auto"/>
          </w:tcPr>
          <w:p w:rsidR="00F64F87" w:rsidRPr="00971BB6" w:rsidRDefault="00F64F87" w:rsidP="006D01F4">
            <w:pPr>
              <w:spacing w:after="0"/>
              <w:jc w:val="both"/>
              <w:rPr>
                <w:rFonts w:cs="Arial"/>
                <w:lang w:val="mn-MN"/>
              </w:rPr>
            </w:pPr>
            <w:r w:rsidRPr="00971BB6">
              <w:rPr>
                <w:rFonts w:eastAsia="Times New Roman" w:cs="Arial"/>
                <w:lang w:val="mn-MN"/>
              </w:rPr>
              <w:t>19.15. It is recommended that MSG should adhere to the state laws and regulation when announcing tenders and selecting contractrors, as well as ensure that the contractors are selected in timely manner and follow the relevant rules and regulations</w:t>
            </w:r>
            <w:r w:rsidRPr="00971BB6">
              <w:rPr>
                <w:rFonts w:eastAsia="Times New Roman" w:cs="Arial"/>
              </w:rPr>
              <w:t>;</w:t>
            </w:r>
          </w:p>
        </w:tc>
        <w:tc>
          <w:tcPr>
            <w:tcW w:w="3330" w:type="dxa"/>
            <w:shd w:val="clear" w:color="auto" w:fill="auto"/>
            <w:vAlign w:val="center"/>
          </w:tcPr>
          <w:p w:rsidR="00F64F87" w:rsidRPr="00971BB6" w:rsidRDefault="00F64F87" w:rsidP="006D01F4">
            <w:pPr>
              <w:spacing w:after="0" w:line="240" w:lineRule="auto"/>
              <w:rPr>
                <w:rFonts w:eastAsia="Times New Roman" w:cs="Arial"/>
                <w:color w:val="000000"/>
                <w:lang w:val="mn-MN"/>
              </w:rPr>
            </w:pPr>
            <w:r w:rsidRPr="00971BB6">
              <w:rPr>
                <w:rFonts w:eastAsia="Times New Roman" w:cs="Arial"/>
                <w:color w:val="000000"/>
                <w:lang w:val="mn-MN"/>
              </w:rPr>
              <w:t xml:space="preserve">2020 </w:t>
            </w:r>
            <w:r w:rsidRPr="00971BB6">
              <w:rPr>
                <w:rFonts w:eastAsia="Times New Roman" w:cs="Arial"/>
                <w:color w:val="000000"/>
              </w:rPr>
              <w:t>Selection was completed without any complications.</w:t>
            </w:r>
          </w:p>
        </w:tc>
      </w:tr>
    </w:tbl>
    <w:p w:rsidR="006555E7" w:rsidRPr="00971BB6" w:rsidRDefault="006555E7"/>
    <w:sectPr w:rsidR="006555E7" w:rsidRPr="00971B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C93" w:rsidRDefault="00B56C93" w:rsidP="00891F36">
      <w:pPr>
        <w:spacing w:after="0" w:line="240" w:lineRule="auto"/>
      </w:pPr>
      <w:r>
        <w:separator/>
      </w:r>
    </w:p>
  </w:endnote>
  <w:endnote w:type="continuationSeparator" w:id="0">
    <w:p w:rsidR="00B56C93" w:rsidRDefault="00B56C93" w:rsidP="00891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C93" w:rsidRDefault="00B56C93" w:rsidP="00891F36">
      <w:pPr>
        <w:spacing w:after="0" w:line="240" w:lineRule="auto"/>
      </w:pPr>
      <w:r>
        <w:separator/>
      </w:r>
    </w:p>
  </w:footnote>
  <w:footnote w:type="continuationSeparator" w:id="0">
    <w:p w:rsidR="00B56C93" w:rsidRDefault="00B56C93" w:rsidP="00891F36">
      <w:pPr>
        <w:spacing w:after="0" w:line="240" w:lineRule="auto"/>
      </w:pPr>
      <w:r>
        <w:continuationSeparator/>
      </w:r>
    </w:p>
  </w:footnote>
  <w:footnote w:id="1">
    <w:p w:rsidR="00891F36" w:rsidRDefault="00891F36">
      <w:pPr>
        <w:pStyle w:val="FootnoteText"/>
      </w:pPr>
      <w:r>
        <w:rPr>
          <w:rStyle w:val="FootnoteReference"/>
        </w:rPr>
        <w:footnoteRef/>
      </w:r>
      <w:r>
        <w:t xml:space="preserve"> Check with Attachment 17 to Mongolia EITI 2020 Report.</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F87"/>
    <w:rsid w:val="006555E7"/>
    <w:rsid w:val="007C4DE3"/>
    <w:rsid w:val="00891F36"/>
    <w:rsid w:val="00971BB6"/>
    <w:rsid w:val="00B56C93"/>
    <w:rsid w:val="00F64F87"/>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1033D"/>
  <w15:chartTrackingRefBased/>
  <w15:docId w15:val="{5D13E2D5-B7CA-4211-8441-1BCECC9F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F87"/>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64F87"/>
    <w:pPr>
      <w:widowControl w:val="0"/>
      <w:autoSpaceDE w:val="0"/>
      <w:autoSpaceDN w:val="0"/>
      <w:spacing w:after="0" w:line="240" w:lineRule="auto"/>
    </w:pPr>
    <w:rPr>
      <w:rFonts w:ascii="Arial" w:eastAsia="Arial" w:hAnsi="Arial" w:cs="Arial"/>
      <w:lang w:bidi="en-US"/>
    </w:rPr>
  </w:style>
  <w:style w:type="paragraph" w:styleId="FootnoteText">
    <w:name w:val="footnote text"/>
    <w:basedOn w:val="Normal"/>
    <w:link w:val="FootnoteTextChar"/>
    <w:uiPriority w:val="99"/>
    <w:semiHidden/>
    <w:unhideWhenUsed/>
    <w:rsid w:val="00891F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F36"/>
    <w:rPr>
      <w:rFonts w:asciiTheme="minorHAnsi" w:hAnsiTheme="minorHAnsi"/>
      <w:sz w:val="20"/>
      <w:szCs w:val="20"/>
    </w:rPr>
  </w:style>
  <w:style w:type="character" w:styleId="FootnoteReference">
    <w:name w:val="footnote reference"/>
    <w:basedOn w:val="DefaultParagraphFont"/>
    <w:uiPriority w:val="99"/>
    <w:semiHidden/>
    <w:unhideWhenUsed/>
    <w:rsid w:val="00891F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8C3C4-E6C5-4416-AE4B-3F6773972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Tsolmon</dc:creator>
  <cp:keywords/>
  <dc:description/>
  <cp:lastModifiedBy>Tsolmon</cp:lastModifiedBy>
  <cp:revision>4</cp:revision>
  <dcterms:created xsi:type="dcterms:W3CDTF">2021-12-22T04:38:00Z</dcterms:created>
  <dcterms:modified xsi:type="dcterms:W3CDTF">2021-12-22T09:04:00Z</dcterms:modified>
</cp:coreProperties>
</file>